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i/>
          <w:sz w:val="24"/>
          <w:szCs w:val="24"/>
          <w:lang w:eastAsia="fr-FR"/>
        </w:rPr>
        <w:t>Sécurité des écoles, collèges, lycées : consignes applicables. Le "niveau alerte attentat" est</w:t>
      </w:r>
      <w:r w:rsidRPr="00010EB4">
        <w:rPr>
          <w:rFonts w:ascii="Times New Roman" w:eastAsia="Times New Roman" w:hAnsi="Times New Roman" w:cs="Times New Roman"/>
          <w:sz w:val="24"/>
          <w:szCs w:val="24"/>
          <w:lang w:eastAsia="fr-FR"/>
        </w:rPr>
        <w:t xml:space="preserve"> maintenu en Ile-de-France, il est étendu au département des Alpes-Maritimes depuis le 15 juillet 2016, et la vigilance renforcée continue de s'appliquer sur le reste du territoire. Le ministère demande à chacune et chacun, personnels de l'Éducation nationale, parents d'élèves, élèves de prendre connaissance de ces consignes et de les respecter afin d'améliorer le niveau de sécurité dans nos écoles et établissements.</w:t>
      </w:r>
    </w:p>
    <w:p w:rsidR="00010EB4" w:rsidRPr="00010EB4" w:rsidRDefault="00010EB4" w:rsidP="00010EB4">
      <w:pPr>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Des actions pour informer et savoir réagir durant la période de rentrée</w:t>
      </w:r>
    </w:p>
    <w:p w:rsidR="00010EB4" w:rsidRPr="00010EB4" w:rsidRDefault="00010EB4" w:rsidP="00010EB4">
      <w:pPr>
        <w:numPr>
          <w:ilvl w:val="0"/>
          <w:numId w:val="1"/>
        </w:numPr>
        <w:spacing w:before="100" w:beforeAutospacing="1" w:after="240"/>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 xml:space="preserve">Un exercice "alerte-SMS" sera déclenché le jour de la </w:t>
      </w:r>
      <w:proofErr w:type="spellStart"/>
      <w:r w:rsidRPr="00010EB4">
        <w:rPr>
          <w:rFonts w:ascii="Times New Roman" w:eastAsia="Times New Roman" w:hAnsi="Times New Roman" w:cs="Times New Roman"/>
          <w:sz w:val="24"/>
          <w:szCs w:val="24"/>
          <w:lang w:eastAsia="fr-FR"/>
        </w:rPr>
        <w:t>pré-rentrée</w:t>
      </w:r>
      <w:proofErr w:type="spellEnd"/>
      <w:r w:rsidRPr="00010EB4">
        <w:rPr>
          <w:rFonts w:ascii="Times New Roman" w:eastAsia="Times New Roman" w:hAnsi="Times New Roman" w:cs="Times New Roman"/>
          <w:sz w:val="24"/>
          <w:szCs w:val="24"/>
          <w:lang w:eastAsia="fr-FR"/>
        </w:rPr>
        <w:t xml:space="preserve"> à l’échelle académique. Cet exercice est complémentaire aux trois exercices de sécurité que devra réaliser chaque école et chaque établissement scolaire durant l'année scolaire.</w:t>
      </w:r>
    </w:p>
    <w:p w:rsidR="00010EB4" w:rsidRPr="00010EB4" w:rsidRDefault="00010EB4" w:rsidP="00010EB4">
      <w:pPr>
        <w:numPr>
          <w:ilvl w:val="0"/>
          <w:numId w:val="1"/>
        </w:numPr>
        <w:spacing w:before="100" w:beforeAutospacing="1" w:after="240"/>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Lors des réunions de rentrée, chaque école consacrera un temps à la sécurité afin de répondre aux questions éventuelles des familles.</w:t>
      </w:r>
    </w:p>
    <w:p w:rsidR="00010EB4" w:rsidRPr="00010EB4" w:rsidRDefault="00010EB4" w:rsidP="00010EB4">
      <w:pPr>
        <w:numPr>
          <w:ilvl w:val="0"/>
          <w:numId w:val="1"/>
        </w:num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Chaque collège ou lycée informera les familles des mesures prises pour sécuriser les établissements scolaires.</w:t>
      </w:r>
      <w:r w:rsidRPr="00010EB4">
        <w:rPr>
          <w:rFonts w:ascii="Times New Roman" w:eastAsia="Times New Roman" w:hAnsi="Times New Roman" w:cs="Times New Roman"/>
          <w:sz w:val="24"/>
          <w:szCs w:val="24"/>
          <w:lang w:eastAsia="fr-FR"/>
        </w:rPr>
        <w:br/>
        <w:t> </w:t>
      </w:r>
    </w:p>
    <w:p w:rsidR="00010EB4" w:rsidRPr="00010EB4" w:rsidRDefault="00010EB4" w:rsidP="00010EB4">
      <w:pPr>
        <w:numPr>
          <w:ilvl w:val="0"/>
          <w:numId w:val="1"/>
        </w:num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Deux guides sont mis à disposition des familles afin de leur expliquer les différentes mesures mises en place dans les écoles et les établissements scolaires : </w:t>
      </w:r>
    </w:p>
    <w:p w:rsidR="00010EB4" w:rsidRPr="00010EB4" w:rsidRDefault="000F4656" w:rsidP="00010EB4">
      <w:pPr>
        <w:spacing w:before="100" w:beforeAutospacing="1" w:after="100" w:afterAutospacing="1"/>
        <w:jc w:val="left"/>
        <w:rPr>
          <w:rFonts w:ascii="Times New Roman" w:eastAsia="Times New Roman" w:hAnsi="Times New Roman" w:cs="Times New Roman"/>
          <w:sz w:val="24"/>
          <w:szCs w:val="24"/>
          <w:lang w:eastAsia="fr-FR"/>
        </w:rPr>
      </w:pPr>
      <w:hyperlink r:id="rId5" w:tgtFrame="_blank" w:tooltip="Sécurité des écoles - Le guide des parents d'élèves (PDF-113.03 Ko-Nouvelle fenêtre)" w:history="1">
        <w:r w:rsidR="00010EB4" w:rsidRPr="00010EB4">
          <w:rPr>
            <w:rFonts w:ascii="Times New Roman" w:eastAsia="Times New Roman" w:hAnsi="Times New Roman" w:cs="Times New Roman"/>
            <w:color w:val="0000FF"/>
            <w:sz w:val="24"/>
            <w:szCs w:val="24"/>
            <w:u w:val="single"/>
            <w:lang w:eastAsia="fr-FR"/>
          </w:rPr>
          <w:t>Consulter le guide "Sécurité des écoles – le guide des parents d’élèves"</w:t>
        </w:r>
      </w:hyperlink>
    </w:p>
    <w:p w:rsidR="00010EB4" w:rsidRPr="00010EB4" w:rsidRDefault="000F4656" w:rsidP="00010EB4">
      <w:pPr>
        <w:spacing w:before="100" w:beforeAutospacing="1" w:after="100" w:afterAutospacing="1"/>
        <w:jc w:val="left"/>
        <w:rPr>
          <w:rFonts w:ascii="Times New Roman" w:eastAsia="Times New Roman" w:hAnsi="Times New Roman" w:cs="Times New Roman"/>
          <w:sz w:val="24"/>
          <w:szCs w:val="24"/>
          <w:lang w:eastAsia="fr-FR"/>
        </w:rPr>
      </w:pPr>
      <w:hyperlink r:id="rId6" w:tgtFrame="_blank" w:tooltip="Sécurité des collèges et des lycées - Le guide des parents d'élèves (PDF-112.76 Ko-Nouvelle fenêtre)" w:history="1">
        <w:r w:rsidR="00010EB4" w:rsidRPr="00010EB4">
          <w:rPr>
            <w:rFonts w:ascii="Times New Roman" w:eastAsia="Times New Roman" w:hAnsi="Times New Roman" w:cs="Times New Roman"/>
            <w:color w:val="0000FF"/>
            <w:sz w:val="24"/>
            <w:szCs w:val="24"/>
            <w:u w:val="single"/>
            <w:lang w:eastAsia="fr-FR"/>
          </w:rPr>
          <w:t>Consulter le guide "Sécurité des collèges et des lycées – le guide des parents d’élèves"</w:t>
        </w:r>
      </w:hyperlink>
    </w:p>
    <w:p w:rsidR="00010EB4" w:rsidRPr="00010EB4" w:rsidRDefault="000F4656" w:rsidP="00010EB4">
      <w:pPr>
        <w:numPr>
          <w:ilvl w:val="0"/>
          <w:numId w:val="2"/>
        </w:numPr>
        <w:spacing w:before="100" w:beforeAutospacing="1" w:after="100" w:afterAutospacing="1"/>
        <w:jc w:val="left"/>
        <w:rPr>
          <w:rFonts w:ascii="Times New Roman" w:eastAsia="Times New Roman" w:hAnsi="Times New Roman" w:cs="Times New Roman"/>
          <w:sz w:val="24"/>
          <w:szCs w:val="24"/>
          <w:lang w:eastAsia="fr-FR"/>
        </w:rPr>
      </w:pPr>
      <w:hyperlink r:id="rId7" w:anchor="Consignes_pour_les_ecoles_colleges_et_lycees" w:tooltip="Consignes pour les ecoles colleges et lycees" w:history="1">
        <w:r w:rsidR="00010EB4" w:rsidRPr="00010EB4">
          <w:rPr>
            <w:rFonts w:ascii="Times New Roman" w:eastAsia="Times New Roman" w:hAnsi="Times New Roman" w:cs="Times New Roman"/>
            <w:color w:val="0000FF"/>
            <w:sz w:val="24"/>
            <w:szCs w:val="24"/>
            <w:u w:val="single"/>
            <w:lang w:eastAsia="fr-FR"/>
          </w:rPr>
          <w:t>Consignes pour les écoles, collèges et lycées</w:t>
        </w:r>
      </w:hyperlink>
    </w:p>
    <w:p w:rsidR="00010EB4" w:rsidRPr="00010EB4" w:rsidRDefault="000F4656" w:rsidP="00010EB4">
      <w:pPr>
        <w:numPr>
          <w:ilvl w:val="0"/>
          <w:numId w:val="2"/>
        </w:numPr>
        <w:spacing w:before="100" w:beforeAutospacing="1" w:after="100" w:afterAutospacing="1"/>
        <w:jc w:val="left"/>
        <w:rPr>
          <w:rFonts w:ascii="Times New Roman" w:eastAsia="Times New Roman" w:hAnsi="Times New Roman" w:cs="Times New Roman"/>
          <w:sz w:val="24"/>
          <w:szCs w:val="24"/>
          <w:lang w:eastAsia="fr-FR"/>
        </w:rPr>
      </w:pPr>
      <w:hyperlink r:id="rId8" w:anchor="Consignes_pour_les_etabliseements_d_enseignement_superieur_et_organismes_de_recherche" w:tooltip="Consignes pour les etabliseements d enseignement superieur et organismes de recherche" w:history="1">
        <w:r w:rsidR="00010EB4" w:rsidRPr="00010EB4">
          <w:rPr>
            <w:rFonts w:ascii="Times New Roman" w:eastAsia="Times New Roman" w:hAnsi="Times New Roman" w:cs="Times New Roman"/>
            <w:color w:val="0000FF"/>
            <w:sz w:val="24"/>
            <w:szCs w:val="24"/>
            <w:u w:val="single"/>
            <w:lang w:eastAsia="fr-FR"/>
          </w:rPr>
          <w:t>Consignes pour les établissements d'enseignement supérieur et organismes de recherche</w:t>
        </w:r>
      </w:hyperlink>
    </w:p>
    <w:p w:rsidR="00010EB4" w:rsidRPr="00010EB4" w:rsidRDefault="000F4656" w:rsidP="00010EB4">
      <w:pPr>
        <w:numPr>
          <w:ilvl w:val="0"/>
          <w:numId w:val="2"/>
        </w:numPr>
        <w:spacing w:before="100" w:beforeAutospacing="1" w:after="100" w:afterAutospacing="1"/>
        <w:jc w:val="left"/>
        <w:rPr>
          <w:rFonts w:ascii="Times New Roman" w:eastAsia="Times New Roman" w:hAnsi="Times New Roman" w:cs="Times New Roman"/>
          <w:sz w:val="24"/>
          <w:szCs w:val="24"/>
          <w:lang w:eastAsia="fr-FR"/>
        </w:rPr>
      </w:pPr>
      <w:hyperlink r:id="rId9" w:anchor="Des_guides_pour_accompagner_la_communaute_educative" w:tooltip="Des guides pour accompagner la communaute educative" w:history="1">
        <w:r w:rsidR="00010EB4" w:rsidRPr="00010EB4">
          <w:rPr>
            <w:rFonts w:ascii="Times New Roman" w:eastAsia="Times New Roman" w:hAnsi="Times New Roman" w:cs="Times New Roman"/>
            <w:color w:val="0000FF"/>
            <w:sz w:val="24"/>
            <w:szCs w:val="24"/>
            <w:u w:val="single"/>
            <w:lang w:eastAsia="fr-FR"/>
          </w:rPr>
          <w:t>Des guides pour accompagner la communauté éducative</w:t>
        </w:r>
      </w:hyperlink>
    </w:p>
    <w:p w:rsidR="00010EB4" w:rsidRPr="00010EB4" w:rsidRDefault="00010EB4" w:rsidP="00010EB4">
      <w:pPr>
        <w:spacing w:before="100" w:beforeAutospacing="1" w:after="100" w:afterAutospacing="1"/>
        <w:jc w:val="left"/>
        <w:outlineLvl w:val="2"/>
        <w:rPr>
          <w:rFonts w:ascii="Times New Roman" w:eastAsia="Times New Roman" w:hAnsi="Times New Roman" w:cs="Times New Roman"/>
          <w:b/>
          <w:bCs/>
          <w:sz w:val="27"/>
          <w:szCs w:val="27"/>
          <w:lang w:eastAsia="fr-FR"/>
        </w:rPr>
      </w:pPr>
      <w:bookmarkStart w:id="0" w:name="Consignes_pour_les_ecoles_colleges_et_ly"/>
      <w:bookmarkEnd w:id="0"/>
      <w:r w:rsidRPr="00010EB4">
        <w:rPr>
          <w:rFonts w:ascii="Times New Roman" w:eastAsia="Times New Roman" w:hAnsi="Times New Roman" w:cs="Times New Roman"/>
          <w:b/>
          <w:bCs/>
          <w:sz w:val="27"/>
          <w:szCs w:val="27"/>
          <w:lang w:eastAsia="fr-FR"/>
        </w:rPr>
        <w:t>Consignes pour les écoles, collèges et lycées</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Le ministère rappelle les consignes suivantes aux personnels de l'Éducation nationale, aux parents d'élèves et aux élèves :</w:t>
      </w:r>
    </w:p>
    <w:p w:rsidR="00010EB4" w:rsidRPr="00010EB4" w:rsidRDefault="00010EB4" w:rsidP="00010EB4">
      <w:pPr>
        <w:numPr>
          <w:ilvl w:val="0"/>
          <w:numId w:val="3"/>
        </w:num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l'accueil à l'entrée des écoles et établissements scolaires est assuré par un adulte ;</w:t>
      </w:r>
    </w:p>
    <w:p w:rsidR="00010EB4" w:rsidRPr="00010EB4" w:rsidRDefault="00010EB4" w:rsidP="00010EB4">
      <w:pPr>
        <w:numPr>
          <w:ilvl w:val="0"/>
          <w:numId w:val="3"/>
        </w:num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un contrôle visuel des sacs peut être effectué ;</w:t>
      </w:r>
    </w:p>
    <w:p w:rsidR="00010EB4" w:rsidRPr="00010EB4" w:rsidRDefault="00010EB4" w:rsidP="00010EB4">
      <w:pPr>
        <w:numPr>
          <w:ilvl w:val="0"/>
          <w:numId w:val="3"/>
        </w:num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l'identité des personnes étrangères à l'établissement est systématiquement vérifiée ;</w:t>
      </w:r>
    </w:p>
    <w:p w:rsidR="00010EB4" w:rsidRPr="00010EB4" w:rsidRDefault="00010EB4" w:rsidP="00010EB4">
      <w:pPr>
        <w:numPr>
          <w:ilvl w:val="0"/>
          <w:numId w:val="3"/>
        </w:num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durant l'année scolaire, chaque école et chaque établissement scolaire doit réaliser trois exercices de sécurité, dont un avant les vacances de la Toussaint - prioritairement l'exercice "attentat intrusion" </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Une attention particulière doit être portée aux abords de l'établissement, en évitant tout attroupement préjudiciable à la sécurité des élèves.</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b/>
          <w:bCs/>
          <w:sz w:val="24"/>
          <w:szCs w:val="24"/>
          <w:lang w:eastAsia="fr-FR"/>
        </w:rPr>
        <w:t>En lycée,</w:t>
      </w:r>
      <w:r w:rsidRPr="00010EB4">
        <w:rPr>
          <w:rFonts w:ascii="Times New Roman" w:eastAsia="Times New Roman" w:hAnsi="Times New Roman" w:cs="Times New Roman"/>
          <w:sz w:val="24"/>
          <w:szCs w:val="24"/>
          <w:lang w:eastAsia="fr-FR"/>
        </w:rPr>
        <w:t xml:space="preserve"> des zones spécifiques peuvent être aménagées dans les espaces extérieurs au sein des établissements scolaires pour éviter que les élèves sortent pendant la journée.</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b/>
          <w:bCs/>
          <w:sz w:val="24"/>
          <w:szCs w:val="24"/>
          <w:lang w:eastAsia="fr-FR"/>
        </w:rPr>
        <w:lastRenderedPageBreak/>
        <w:t>En école primaire,</w:t>
      </w:r>
      <w:r w:rsidRPr="00010EB4">
        <w:rPr>
          <w:rFonts w:ascii="Times New Roman" w:eastAsia="Times New Roman" w:hAnsi="Times New Roman" w:cs="Times New Roman"/>
          <w:sz w:val="24"/>
          <w:szCs w:val="24"/>
          <w:lang w:eastAsia="fr-FR"/>
        </w:rPr>
        <w:t xml:space="preserve"> il est demandé aux familles de ne pas s'attarder devant les portes d'accès pendant la dépose ou la récupération de leurs enfants.</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Dans les académies en Vigipirate Alerte Attentat, le stationnement des véhicules est interdit aux abords de l'établissement.</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Les écoles et les établissements peuvent assouplir leurs horaires d'entrées et de sorties pour mieux contrôler les flux d'élèves. Il est nécessaire d'éviter que les élèves attendent l'ouverture des portes de l'établissement sur la voie publique.</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Il est demandé à chacun de signaler tout comportement ou objet suspect. Chaque école et chaque établissement doit vérifier l'efficacité et la connaissance par l'ensemble des personnels et des représentants de parents d'élèves présents en conseil d'école et conseil d'administration de son plan particulier de mise en sûreté (PPMS) ainsi que des mesures spécifiques à prendre en cas d'intrusion.</w:t>
      </w:r>
    </w:p>
    <w:p w:rsidR="00010EB4" w:rsidRPr="00010EB4" w:rsidRDefault="00010EB4" w:rsidP="00010EB4">
      <w:pPr>
        <w:spacing w:before="100" w:beforeAutospacing="1" w:after="100" w:afterAutospacing="1"/>
        <w:jc w:val="left"/>
        <w:outlineLvl w:val="3"/>
        <w:rPr>
          <w:rFonts w:ascii="Times New Roman" w:eastAsia="Times New Roman" w:hAnsi="Times New Roman" w:cs="Times New Roman"/>
          <w:b/>
          <w:bCs/>
          <w:sz w:val="24"/>
          <w:szCs w:val="24"/>
          <w:lang w:eastAsia="fr-FR"/>
        </w:rPr>
      </w:pPr>
      <w:r w:rsidRPr="00010EB4">
        <w:rPr>
          <w:rFonts w:ascii="Times New Roman" w:eastAsia="Times New Roman" w:hAnsi="Times New Roman" w:cs="Times New Roman"/>
          <w:b/>
          <w:bCs/>
          <w:sz w:val="24"/>
          <w:szCs w:val="24"/>
          <w:lang w:eastAsia="fr-FR"/>
        </w:rPr>
        <w:t>Consignes spécifiques aux établissements du premier degré</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L'Inspecteur d'académie, directeur des services départementaux de l'éducation nationale (IA-DASEN) et les services de la Préfecture accompagneront les écoles dans la mise en place de mesures de sécurité adaptées au territoire. Les IA-DASEN procèderont à la vérification de la mise à jour des documents et des protocoles PPMS et sécurité.</w:t>
      </w:r>
    </w:p>
    <w:p w:rsidR="00010EB4" w:rsidRPr="00010EB4" w:rsidRDefault="00010EB4" w:rsidP="00010EB4">
      <w:pPr>
        <w:spacing w:before="100" w:beforeAutospacing="1" w:after="100" w:afterAutospacing="1"/>
        <w:jc w:val="left"/>
        <w:outlineLvl w:val="3"/>
        <w:rPr>
          <w:rFonts w:ascii="Times New Roman" w:eastAsia="Times New Roman" w:hAnsi="Times New Roman" w:cs="Times New Roman"/>
          <w:b/>
          <w:bCs/>
          <w:sz w:val="24"/>
          <w:szCs w:val="24"/>
          <w:lang w:eastAsia="fr-FR"/>
        </w:rPr>
      </w:pPr>
      <w:r w:rsidRPr="00010EB4">
        <w:rPr>
          <w:rFonts w:ascii="Times New Roman" w:eastAsia="Times New Roman" w:hAnsi="Times New Roman" w:cs="Times New Roman"/>
          <w:b/>
          <w:bCs/>
          <w:sz w:val="24"/>
          <w:szCs w:val="24"/>
          <w:lang w:eastAsia="fr-FR"/>
        </w:rPr>
        <w:t>Consignes spécifiques aux établissements du second degré</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Les chefs d'établissement peuvent prendre attache auprès des équipes mobiles de sécurité de l'Éducation nationale et/ou du référent sûreté (police ou gendarmerie) pour mettre à jour leur diagnostic de sécurité.</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Une attention particulière doit être portée à la gestion des flux d'élèves et des entrées et sorties des établissements possédant un internat.</w:t>
      </w:r>
    </w:p>
    <w:p w:rsidR="00010EB4" w:rsidRPr="00010EB4" w:rsidRDefault="00010EB4" w:rsidP="00010EB4">
      <w:pPr>
        <w:spacing w:after="240"/>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b/>
          <w:bCs/>
          <w:sz w:val="24"/>
          <w:szCs w:val="24"/>
          <w:lang w:eastAsia="fr-FR"/>
        </w:rPr>
        <w:t>Sorties scolaires, voyages scolaires, manifestations (sous réserve de consignes spécifiques ultérieures justifiées par des situations particulières)</w:t>
      </w:r>
      <w:r w:rsidRPr="00010EB4">
        <w:rPr>
          <w:rFonts w:ascii="Times New Roman" w:eastAsia="Times New Roman" w:hAnsi="Times New Roman" w:cs="Times New Roman"/>
          <w:b/>
          <w:bCs/>
          <w:sz w:val="24"/>
          <w:szCs w:val="24"/>
          <w:lang w:eastAsia="fr-FR"/>
        </w:rPr>
        <w:br/>
        <w:t> </w:t>
      </w:r>
      <w:r w:rsidRPr="00010EB4">
        <w:rPr>
          <w:rFonts w:ascii="Times New Roman" w:eastAsia="Times New Roman" w:hAnsi="Times New Roman" w:cs="Times New Roman"/>
          <w:b/>
          <w:bCs/>
          <w:sz w:val="24"/>
          <w:szCs w:val="24"/>
          <w:lang w:eastAsia="fr-FR"/>
        </w:rPr>
        <w:br/>
      </w:r>
      <w:r w:rsidRPr="00010EB4">
        <w:rPr>
          <w:rFonts w:ascii="Times New Roman" w:eastAsia="Times New Roman" w:hAnsi="Times New Roman" w:cs="Times New Roman"/>
          <w:sz w:val="24"/>
          <w:szCs w:val="24"/>
          <w:lang w:eastAsia="fr-FR"/>
        </w:rPr>
        <w:t>Les voyages scolaires sont autorisés. La seule obligation pour les écoles et les établissements scolaires est de signaler en amont ces voyages à l'autorité académique. En lien avec les préfets, l'autorité académique pourra interdire un voyage si les conditions de sécurité ne sont pas remplies.</w:t>
      </w:r>
      <w:r w:rsidRPr="00010EB4">
        <w:rPr>
          <w:rFonts w:ascii="Times New Roman" w:eastAsia="Times New Roman" w:hAnsi="Times New Roman" w:cs="Times New Roman"/>
          <w:sz w:val="24"/>
          <w:szCs w:val="24"/>
          <w:lang w:eastAsia="fr-FR"/>
        </w:rPr>
        <w:br/>
        <w:t> </w:t>
      </w:r>
      <w:r w:rsidRPr="00010EB4">
        <w:rPr>
          <w:rFonts w:ascii="Times New Roman" w:eastAsia="Times New Roman" w:hAnsi="Times New Roman" w:cs="Times New Roman"/>
          <w:sz w:val="24"/>
          <w:szCs w:val="24"/>
          <w:lang w:eastAsia="fr-FR"/>
        </w:rPr>
        <w:br/>
        <w:t>Les sorties scolaires occasionnelles (théâtre, sortie nature...) sont également autorisées. Elles ne nécessitent pas d'autorisations préalables auprès des autorités académiques.</w:t>
      </w:r>
      <w:r w:rsidRPr="00010EB4">
        <w:rPr>
          <w:rFonts w:ascii="Times New Roman" w:eastAsia="Times New Roman" w:hAnsi="Times New Roman" w:cs="Times New Roman"/>
          <w:sz w:val="24"/>
          <w:szCs w:val="24"/>
          <w:lang w:eastAsia="fr-FR"/>
        </w:rPr>
        <w:br/>
        <w:t> </w:t>
      </w:r>
      <w:r w:rsidRPr="00010EB4">
        <w:rPr>
          <w:rFonts w:ascii="Times New Roman" w:eastAsia="Times New Roman" w:hAnsi="Times New Roman" w:cs="Times New Roman"/>
          <w:sz w:val="24"/>
          <w:szCs w:val="24"/>
          <w:lang w:eastAsia="fr-FR"/>
        </w:rPr>
        <w:br/>
        <w:t>Toute manifestation autorisée par la préfecture (salons, compétitions sportives...) est de fait accessible aux scolaires.</w:t>
      </w:r>
    </w:p>
    <w:p w:rsidR="00010EB4" w:rsidRPr="00010EB4" w:rsidRDefault="00010EB4" w:rsidP="00010EB4">
      <w:pPr>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 </w:t>
      </w:r>
    </w:p>
    <w:p w:rsidR="00010EB4" w:rsidRPr="00010EB4" w:rsidRDefault="00010EB4" w:rsidP="00010EB4">
      <w:pPr>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Cellules psychologiques</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lastRenderedPageBreak/>
        <w:t>Les cellules psychologiques peuvent toujours être déployées par le ministère à la demande des directeurs d'école et chefs d'établissements. 250 cellules sont activées sur l'ensemble du territoire.</w:t>
      </w:r>
    </w:p>
    <w:p w:rsidR="00010EB4" w:rsidRPr="00010EB4" w:rsidRDefault="00010EB4" w:rsidP="00010EB4">
      <w:pPr>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 </w:t>
      </w:r>
    </w:p>
    <w:p w:rsidR="00010EB4" w:rsidRPr="00010EB4" w:rsidRDefault="00010EB4" w:rsidP="00010EB4">
      <w:pPr>
        <w:spacing w:before="100" w:beforeAutospacing="1" w:after="100" w:afterAutospacing="1"/>
        <w:jc w:val="left"/>
        <w:outlineLvl w:val="2"/>
        <w:rPr>
          <w:rFonts w:ascii="Times New Roman" w:eastAsia="Times New Roman" w:hAnsi="Times New Roman" w:cs="Times New Roman"/>
          <w:b/>
          <w:bCs/>
          <w:sz w:val="27"/>
          <w:szCs w:val="27"/>
          <w:lang w:eastAsia="fr-FR"/>
        </w:rPr>
      </w:pPr>
      <w:bookmarkStart w:id="1" w:name="Consignes_pour_les_etabliseements_d_ense"/>
      <w:bookmarkEnd w:id="1"/>
      <w:r w:rsidRPr="00010EB4">
        <w:rPr>
          <w:rFonts w:ascii="Times New Roman" w:eastAsia="Times New Roman" w:hAnsi="Times New Roman" w:cs="Times New Roman"/>
          <w:b/>
          <w:bCs/>
          <w:sz w:val="27"/>
          <w:szCs w:val="27"/>
          <w:lang w:eastAsia="fr-FR"/>
        </w:rPr>
        <w:t>Consignes pour les établissements d'enseignement supérieur et organismes de recherche</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Pour l’ensemble du territoire national, il est demandé de veiller à la stricte application du contrôle d’accès et du contrôle visuel des sacs dans les établissements d’enseignement supérieur et les organismes de recherche. Une attention particulière est demandée afin d’éviter tout attroupement aux abords des établissements d’enseignement supérieur.</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Il est recommandé aux responsables des établissements de signaler à la préfecture les manifestations ou les déplacements importants.</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S’agissant des établissements de l’enseignement supérieur, il est demandé de porter une attention particulière à l’organisation de manifestations ouvertes au public en liaison avec les préfets.</w:t>
      </w:r>
    </w:p>
    <w:p w:rsidR="00010EB4" w:rsidRPr="00010EB4" w:rsidRDefault="00010EB4" w:rsidP="00010EB4">
      <w:pPr>
        <w:spacing w:before="100" w:beforeAutospacing="1" w:after="100" w:afterAutospacing="1"/>
        <w:jc w:val="left"/>
        <w:rPr>
          <w:rFonts w:ascii="Times New Roman" w:eastAsia="Times New Roman" w:hAnsi="Times New Roman" w:cs="Times New Roman"/>
          <w:sz w:val="24"/>
          <w:szCs w:val="24"/>
          <w:lang w:eastAsia="fr-FR"/>
        </w:rPr>
      </w:pPr>
      <w:r w:rsidRPr="00010EB4">
        <w:rPr>
          <w:rFonts w:ascii="Times New Roman" w:eastAsia="Times New Roman" w:hAnsi="Times New Roman" w:cs="Times New Roman"/>
          <w:sz w:val="24"/>
          <w:szCs w:val="24"/>
          <w:lang w:eastAsia="fr-FR"/>
        </w:rPr>
        <w:t xml:space="preserve">Ces consignes ont été transmises aux recteurs d’académies, chanceliers des universités, présidents et directeurs d’établissements d’Enseignement supérieur, aux présidents et directeurs d’organismes de recherche, aux directeurs du </w:t>
      </w:r>
      <w:proofErr w:type="spellStart"/>
      <w:r w:rsidRPr="00010EB4">
        <w:rPr>
          <w:rFonts w:ascii="Times New Roman" w:eastAsia="Times New Roman" w:hAnsi="Times New Roman" w:cs="Times New Roman"/>
          <w:sz w:val="24"/>
          <w:szCs w:val="24"/>
          <w:lang w:eastAsia="fr-FR"/>
        </w:rPr>
        <w:t>Cnous</w:t>
      </w:r>
      <w:proofErr w:type="spellEnd"/>
      <w:r w:rsidRPr="00010EB4">
        <w:rPr>
          <w:rFonts w:ascii="Times New Roman" w:eastAsia="Times New Roman" w:hAnsi="Times New Roman" w:cs="Times New Roman"/>
          <w:sz w:val="24"/>
          <w:szCs w:val="24"/>
          <w:lang w:eastAsia="fr-FR"/>
        </w:rPr>
        <w:t xml:space="preserve"> et des Crous par le haut fonctionnaire de défense et de sécurité du ministère.</w:t>
      </w:r>
    </w:p>
    <w:p w:rsidR="006C7865" w:rsidRDefault="006C7865"/>
    <w:sectPr w:rsidR="006C7865" w:rsidSect="006C7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6B2"/>
    <w:multiLevelType w:val="multilevel"/>
    <w:tmpl w:val="A1B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52C55"/>
    <w:multiLevelType w:val="multilevel"/>
    <w:tmpl w:val="CC1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A705D"/>
    <w:multiLevelType w:val="multilevel"/>
    <w:tmpl w:val="D0F6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EB4"/>
    <w:rsid w:val="00010EB4"/>
    <w:rsid w:val="000F4656"/>
    <w:rsid w:val="006C7865"/>
    <w:rsid w:val="0076513A"/>
    <w:rsid w:val="008E15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65"/>
  </w:style>
  <w:style w:type="paragraph" w:styleId="Titre3">
    <w:name w:val="heading 3"/>
    <w:basedOn w:val="Normal"/>
    <w:link w:val="Titre3Car"/>
    <w:uiPriority w:val="9"/>
    <w:qFormat/>
    <w:rsid w:val="00010EB4"/>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10EB4"/>
    <w:pPr>
      <w:spacing w:before="100" w:beforeAutospacing="1" w:after="100" w:afterAutospacing="1"/>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10EB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10EB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10EB4"/>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0EB4"/>
    <w:rPr>
      <w:color w:val="0000FF"/>
      <w:u w:val="single"/>
    </w:rPr>
  </w:style>
  <w:style w:type="character" w:styleId="lev">
    <w:name w:val="Strong"/>
    <w:basedOn w:val="Policepardfaut"/>
    <w:uiPriority w:val="22"/>
    <w:qFormat/>
    <w:rsid w:val="00010EB4"/>
    <w:rPr>
      <w:b/>
      <w:bCs/>
    </w:rPr>
  </w:style>
  <w:style w:type="character" w:customStyle="1" w:styleId="enavant">
    <w:name w:val="en_avant"/>
    <w:basedOn w:val="Policepardfaut"/>
    <w:rsid w:val="00010EB4"/>
  </w:style>
  <w:style w:type="paragraph" w:styleId="Textedebulles">
    <w:name w:val="Balloon Text"/>
    <w:basedOn w:val="Normal"/>
    <w:link w:val="TextedebullesCar"/>
    <w:uiPriority w:val="99"/>
    <w:semiHidden/>
    <w:unhideWhenUsed/>
    <w:rsid w:val="00010EB4"/>
    <w:rPr>
      <w:rFonts w:ascii="Tahoma" w:hAnsi="Tahoma" w:cs="Tahoma"/>
      <w:sz w:val="16"/>
      <w:szCs w:val="16"/>
    </w:rPr>
  </w:style>
  <w:style w:type="character" w:customStyle="1" w:styleId="TextedebullesCar">
    <w:name w:val="Texte de bulles Car"/>
    <w:basedOn w:val="Policepardfaut"/>
    <w:link w:val="Textedebulles"/>
    <w:uiPriority w:val="99"/>
    <w:semiHidden/>
    <w:rsid w:val="00010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169540">
      <w:bodyDiv w:val="1"/>
      <w:marLeft w:val="0"/>
      <w:marRight w:val="0"/>
      <w:marTop w:val="0"/>
      <w:marBottom w:val="0"/>
      <w:divBdr>
        <w:top w:val="none" w:sz="0" w:space="0" w:color="auto"/>
        <w:left w:val="none" w:sz="0" w:space="0" w:color="auto"/>
        <w:bottom w:val="none" w:sz="0" w:space="0" w:color="auto"/>
        <w:right w:val="none" w:sz="0" w:space="0" w:color="auto"/>
      </w:divBdr>
      <w:divsChild>
        <w:div w:id="89860270">
          <w:marLeft w:val="0"/>
          <w:marRight w:val="0"/>
          <w:marTop w:val="0"/>
          <w:marBottom w:val="0"/>
          <w:divBdr>
            <w:top w:val="none" w:sz="0" w:space="0" w:color="auto"/>
            <w:left w:val="none" w:sz="0" w:space="0" w:color="auto"/>
            <w:bottom w:val="none" w:sz="0" w:space="0" w:color="auto"/>
            <w:right w:val="none" w:sz="0" w:space="0" w:color="auto"/>
          </w:divBdr>
        </w:div>
        <w:div w:id="672492150">
          <w:marLeft w:val="0"/>
          <w:marRight w:val="0"/>
          <w:marTop w:val="0"/>
          <w:marBottom w:val="0"/>
          <w:divBdr>
            <w:top w:val="none" w:sz="0" w:space="0" w:color="auto"/>
            <w:left w:val="none" w:sz="0" w:space="0" w:color="auto"/>
            <w:bottom w:val="none" w:sz="0" w:space="0" w:color="auto"/>
            <w:right w:val="none" w:sz="0" w:space="0" w:color="auto"/>
          </w:divBdr>
          <w:divsChild>
            <w:div w:id="1810243797">
              <w:marLeft w:val="0"/>
              <w:marRight w:val="0"/>
              <w:marTop w:val="0"/>
              <w:marBottom w:val="0"/>
              <w:divBdr>
                <w:top w:val="none" w:sz="0" w:space="0" w:color="auto"/>
                <w:left w:val="none" w:sz="0" w:space="0" w:color="auto"/>
                <w:bottom w:val="none" w:sz="0" w:space="0" w:color="auto"/>
                <w:right w:val="none" w:sz="0" w:space="0" w:color="auto"/>
              </w:divBdr>
              <w:divsChild>
                <w:div w:id="6408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7276">
          <w:marLeft w:val="0"/>
          <w:marRight w:val="0"/>
          <w:marTop w:val="0"/>
          <w:marBottom w:val="0"/>
          <w:divBdr>
            <w:top w:val="none" w:sz="0" w:space="0" w:color="auto"/>
            <w:left w:val="none" w:sz="0" w:space="0" w:color="auto"/>
            <w:bottom w:val="none" w:sz="0" w:space="0" w:color="auto"/>
            <w:right w:val="none" w:sz="0" w:space="0" w:color="auto"/>
          </w:divBdr>
          <w:divsChild>
            <w:div w:id="819347891">
              <w:marLeft w:val="0"/>
              <w:marRight w:val="0"/>
              <w:marTop w:val="0"/>
              <w:marBottom w:val="0"/>
              <w:divBdr>
                <w:top w:val="none" w:sz="0" w:space="0" w:color="auto"/>
                <w:left w:val="none" w:sz="0" w:space="0" w:color="auto"/>
                <w:bottom w:val="none" w:sz="0" w:space="0" w:color="auto"/>
                <w:right w:val="none" w:sz="0" w:space="0" w:color="auto"/>
              </w:divBdr>
            </w:div>
            <w:div w:id="1639803993">
              <w:marLeft w:val="0"/>
              <w:marRight w:val="0"/>
              <w:marTop w:val="0"/>
              <w:marBottom w:val="0"/>
              <w:divBdr>
                <w:top w:val="none" w:sz="0" w:space="0" w:color="auto"/>
                <w:left w:val="none" w:sz="0" w:space="0" w:color="auto"/>
                <w:bottom w:val="none" w:sz="0" w:space="0" w:color="auto"/>
                <w:right w:val="none" w:sz="0" w:space="0" w:color="auto"/>
              </w:divBdr>
              <w:divsChild>
                <w:div w:id="1903052584">
                  <w:marLeft w:val="0"/>
                  <w:marRight w:val="0"/>
                  <w:marTop w:val="0"/>
                  <w:marBottom w:val="0"/>
                  <w:divBdr>
                    <w:top w:val="none" w:sz="0" w:space="0" w:color="auto"/>
                    <w:left w:val="none" w:sz="0" w:space="0" w:color="auto"/>
                    <w:bottom w:val="none" w:sz="0" w:space="0" w:color="auto"/>
                    <w:right w:val="none" w:sz="0" w:space="0" w:color="auto"/>
                  </w:divBdr>
                  <w:divsChild>
                    <w:div w:id="1233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513">
              <w:marLeft w:val="0"/>
              <w:marRight w:val="0"/>
              <w:marTop w:val="0"/>
              <w:marBottom w:val="0"/>
              <w:divBdr>
                <w:top w:val="none" w:sz="0" w:space="0" w:color="auto"/>
                <w:left w:val="none" w:sz="0" w:space="0" w:color="auto"/>
                <w:bottom w:val="none" w:sz="0" w:space="0" w:color="auto"/>
                <w:right w:val="none" w:sz="0" w:space="0" w:color="auto"/>
              </w:divBdr>
              <w:divsChild>
                <w:div w:id="343870294">
                  <w:marLeft w:val="0"/>
                  <w:marRight w:val="0"/>
                  <w:marTop w:val="0"/>
                  <w:marBottom w:val="0"/>
                  <w:divBdr>
                    <w:top w:val="none" w:sz="0" w:space="0" w:color="auto"/>
                    <w:left w:val="none" w:sz="0" w:space="0" w:color="auto"/>
                    <w:bottom w:val="none" w:sz="0" w:space="0" w:color="auto"/>
                    <w:right w:val="none" w:sz="0" w:space="0" w:color="auto"/>
                  </w:divBdr>
                  <w:divsChild>
                    <w:div w:id="1040934714">
                      <w:marLeft w:val="0"/>
                      <w:marRight w:val="0"/>
                      <w:marTop w:val="0"/>
                      <w:marBottom w:val="0"/>
                      <w:divBdr>
                        <w:top w:val="none" w:sz="0" w:space="0" w:color="auto"/>
                        <w:left w:val="none" w:sz="0" w:space="0" w:color="auto"/>
                        <w:bottom w:val="none" w:sz="0" w:space="0" w:color="auto"/>
                        <w:right w:val="none" w:sz="0" w:space="0" w:color="auto"/>
                      </w:divBdr>
                    </w:div>
                    <w:div w:id="1436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85267/consignes-de-securite-applicables-dans-les-etablissements-relevant-du-ministere.html" TargetMode="External"/><Relationship Id="rId3" Type="http://schemas.openxmlformats.org/officeDocument/2006/relationships/settings" Target="settings.xml"/><Relationship Id="rId7" Type="http://schemas.openxmlformats.org/officeDocument/2006/relationships/hyperlink" Target="http://www.education.gouv.fr/cid85267/consignes-de-securite-applicables-dans-les-etablissements-relevant-du-ministe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che.media.education.gouv.fr/file/08-aout/22/4/2016_securite_guide_college_parents_web_616224.pdf" TargetMode="External"/><Relationship Id="rId11" Type="http://schemas.openxmlformats.org/officeDocument/2006/relationships/theme" Target="theme/theme1.xml"/><Relationship Id="rId5" Type="http://schemas.openxmlformats.org/officeDocument/2006/relationships/hyperlink" Target="http://cache.media.education.gouv.fr/file/08-aout/21/8/2016_securite_guide_ecole_parents_6162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uv.fr/cid85267/consignes-de-securite-applicables-dans-les-etablissements-relevant-du-ministe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6383</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elo</dc:creator>
  <cp:lastModifiedBy>hub elo</cp:lastModifiedBy>
  <cp:revision>2</cp:revision>
  <dcterms:created xsi:type="dcterms:W3CDTF">2016-08-30T07:54:00Z</dcterms:created>
  <dcterms:modified xsi:type="dcterms:W3CDTF">2016-08-30T07:56:00Z</dcterms:modified>
</cp:coreProperties>
</file>